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0BB9A" w14:textId="77777777" w:rsidR="009423EF" w:rsidRDefault="00000000">
      <w:pPr>
        <w:spacing w:after="156" w:line="259" w:lineRule="auto"/>
        <w:ind w:left="116" w:firstLine="0"/>
        <w:jc w:val="center"/>
      </w:pPr>
      <w:r>
        <w:rPr>
          <w:b/>
        </w:rPr>
        <w:t xml:space="preserve">Bookfair Description </w:t>
      </w:r>
    </w:p>
    <w:p w14:paraId="6F69CD7F" w14:textId="77777777" w:rsidR="009423EF" w:rsidRDefault="00000000">
      <w:pPr>
        <w:ind w:left="-5"/>
      </w:pPr>
      <w:r>
        <w:t xml:space="preserve">On the Bookfair date, customers who present a valid bookfair voucher or mention participation in the bookfair at the register will have select purchases of books and other products sold at Barnes &amp; Noble count towards the Bookfair total. Exceptions include textbooks, used and out of print books, magazine subscriptions, video games, software, digital content, downloadable audiobooks, promotions, products returned within 7 days of purchase, gift cards and membership fees.   </w:t>
      </w:r>
    </w:p>
    <w:p w14:paraId="48FD7713" w14:textId="77777777" w:rsidR="009423EF" w:rsidRDefault="00000000">
      <w:pPr>
        <w:ind w:left="-5"/>
      </w:pPr>
      <w:r>
        <w:t xml:space="preserve">Based on the election of the charitable organization, Barnes &amp; Noble shall </w:t>
      </w:r>
      <w:proofErr w:type="gramStart"/>
      <w:r>
        <w:t>make a donation</w:t>
      </w:r>
      <w:proofErr w:type="gramEnd"/>
      <w:r>
        <w:t xml:space="preserve"> to the charitable organization in the form of a check.  The donation amount shall be 0% (for pre-tax sales under $1,500), 5% (for pre-tax sales between $1,500-5,000), 8% (for pre-tax sales between $5,000 to $10,000) and 10% (for pre-tax sales between $10,000 to $125,000). Pre-tax sales over $125,000 will not count toward the Bookfair total.   Online purchases will not count toward the Bookfair total.      </w:t>
      </w:r>
    </w:p>
    <w:p w14:paraId="3ECDE9FF" w14:textId="77777777" w:rsidR="009423EF" w:rsidRDefault="00000000">
      <w:pPr>
        <w:spacing w:after="160" w:line="259" w:lineRule="auto"/>
        <w:ind w:left="0" w:firstLine="0"/>
      </w:pPr>
      <w:r>
        <w:rPr>
          <w:rFonts w:ascii="Calibri" w:eastAsia="Calibri" w:hAnsi="Calibri" w:cs="Calibri"/>
        </w:rPr>
        <w:t xml:space="preserve"> </w:t>
      </w:r>
    </w:p>
    <w:p w14:paraId="7C96AA28" w14:textId="77777777" w:rsidR="009423EF" w:rsidRDefault="00000000">
      <w:pPr>
        <w:spacing w:after="0" w:line="259" w:lineRule="auto"/>
        <w:ind w:left="0" w:firstLine="0"/>
      </w:pPr>
      <w:r>
        <w:rPr>
          <w:rFonts w:ascii="Calibri" w:eastAsia="Calibri" w:hAnsi="Calibri" w:cs="Calibri"/>
        </w:rPr>
        <w:t xml:space="preserve"> </w:t>
      </w:r>
    </w:p>
    <w:sectPr w:rsidR="009423EF">
      <w:pgSz w:w="12240" w:h="15840"/>
      <w:pgMar w:top="1440" w:right="15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3EF"/>
    <w:rsid w:val="006353CC"/>
    <w:rsid w:val="00942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73A83C"/>
  <w15:docId w15:val="{31FCC4AD-2A9F-8E43-8CE6-E0A2CB19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1" w:line="256" w:lineRule="auto"/>
      <w:ind w:left="10" w:hanging="10"/>
    </w:pPr>
    <w:rPr>
      <w:rFonts w:ascii="Times New Roman" w:eastAsia="Times New Roman" w:hAnsi="Times New Roman" w:cs="Times New Roman"/>
      <w:color w:val="000000"/>
      <w:sz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Sheedeh Moayery</dc:creator>
  <cp:keywords/>
  <cp:lastModifiedBy>Haunani Viola</cp:lastModifiedBy>
  <cp:revision>2</cp:revision>
  <dcterms:created xsi:type="dcterms:W3CDTF">2023-09-15T02:52:00Z</dcterms:created>
  <dcterms:modified xsi:type="dcterms:W3CDTF">2023-09-15T02:52:00Z</dcterms:modified>
</cp:coreProperties>
</file>